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46A3" w:rsidRPr="00A8099B" w:rsidRDefault="00A8099B">
      <w:pPr>
        <w:rPr>
          <w:b/>
          <w:bCs/>
          <w:u w:val="single"/>
          <w:lang w:val="en-US"/>
        </w:rPr>
      </w:pPr>
      <w:r w:rsidRPr="00A8099B">
        <w:rPr>
          <w:b/>
          <w:bCs/>
          <w:u w:val="single"/>
          <w:lang w:val="en-US"/>
        </w:rPr>
        <w:t xml:space="preserve">HASIL ANALISIS </w:t>
      </w:r>
    </w:p>
    <w:p w:rsidR="00A8099B" w:rsidRDefault="00A8099B">
      <w:pPr>
        <w:rPr>
          <w:lang w:val="en-US"/>
        </w:rPr>
      </w:pPr>
    </w:p>
    <w:p w:rsidR="00A8099B" w:rsidRPr="00A8099B" w:rsidRDefault="00A8099B">
      <w:pPr>
        <w:rPr>
          <w:b/>
          <w:bCs/>
          <w:lang w:val="en-US"/>
        </w:rPr>
      </w:pPr>
      <w:r w:rsidRPr="00A8099B">
        <w:rPr>
          <w:b/>
          <w:bCs/>
          <w:lang w:val="en-US"/>
        </w:rPr>
        <w:t xml:space="preserve">Uji Asumsi </w:t>
      </w:r>
    </w:p>
    <w:p w:rsidR="00A8099B" w:rsidRDefault="00A8099B">
      <w:pPr>
        <w:rPr>
          <w:lang w:val="en-US"/>
        </w:rPr>
      </w:pPr>
      <w:r w:rsidRPr="00FD5136">
        <w:rPr>
          <w:rFonts w:asciiTheme="majorBidi" w:hAnsiTheme="majorBidi" w:cstheme="majorBidi"/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47CAF5FC" wp14:editId="504B9445">
            <wp:simplePos x="0" y="0"/>
            <wp:positionH relativeFrom="margin">
              <wp:posOffset>0</wp:posOffset>
            </wp:positionH>
            <wp:positionV relativeFrom="paragraph">
              <wp:posOffset>285750</wp:posOffset>
            </wp:positionV>
            <wp:extent cx="3222625" cy="2588895"/>
            <wp:effectExtent l="0" t="0" r="0" b="0"/>
            <wp:wrapTight wrapText="bothSides">
              <wp:wrapPolygon edited="0">
                <wp:start x="0" y="0"/>
                <wp:lineTo x="0" y="21457"/>
                <wp:lineTo x="21451" y="21457"/>
                <wp:lineTo x="21451" y="0"/>
                <wp:lineTo x="0" y="0"/>
              </wp:wrapPolygon>
            </wp:wrapTight>
            <wp:docPr id="1028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4" cstate="print"/>
                    <a:srcRect/>
                    <a:stretch/>
                  </pic:blipFill>
                  <pic:spPr>
                    <a:xfrm>
                      <a:off x="0" y="0"/>
                      <a:ext cx="3222625" cy="2588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8099B" w:rsidRPr="00A8099B" w:rsidRDefault="00A8099B" w:rsidP="00A8099B">
      <w:pPr>
        <w:rPr>
          <w:lang w:val="en-US"/>
        </w:rPr>
      </w:pPr>
    </w:p>
    <w:p w:rsidR="00A8099B" w:rsidRPr="00A8099B" w:rsidRDefault="00A8099B" w:rsidP="00A8099B">
      <w:pPr>
        <w:rPr>
          <w:lang w:val="en-US"/>
        </w:rPr>
      </w:pPr>
    </w:p>
    <w:p w:rsidR="00A8099B" w:rsidRPr="00A8099B" w:rsidRDefault="00A8099B" w:rsidP="00A8099B">
      <w:pPr>
        <w:rPr>
          <w:lang w:val="en-US"/>
        </w:rPr>
      </w:pPr>
    </w:p>
    <w:p w:rsidR="00A8099B" w:rsidRPr="00A8099B" w:rsidRDefault="00A8099B" w:rsidP="00A8099B">
      <w:pPr>
        <w:rPr>
          <w:lang w:val="en-US"/>
        </w:rPr>
      </w:pPr>
    </w:p>
    <w:p w:rsidR="00A8099B" w:rsidRPr="00A8099B" w:rsidRDefault="00A8099B" w:rsidP="00A8099B">
      <w:pPr>
        <w:rPr>
          <w:lang w:val="en-US"/>
        </w:rPr>
      </w:pPr>
    </w:p>
    <w:p w:rsidR="00A8099B" w:rsidRPr="00A8099B" w:rsidRDefault="00A8099B" w:rsidP="00A8099B">
      <w:pPr>
        <w:rPr>
          <w:lang w:val="en-US"/>
        </w:rPr>
      </w:pPr>
    </w:p>
    <w:p w:rsidR="00A8099B" w:rsidRPr="00A8099B" w:rsidRDefault="00A8099B" w:rsidP="00A8099B">
      <w:pPr>
        <w:rPr>
          <w:lang w:val="en-US"/>
        </w:rPr>
      </w:pPr>
    </w:p>
    <w:p w:rsidR="00A8099B" w:rsidRPr="00A8099B" w:rsidRDefault="00A8099B" w:rsidP="00A8099B">
      <w:pPr>
        <w:rPr>
          <w:lang w:val="en-US"/>
        </w:rPr>
      </w:pPr>
    </w:p>
    <w:p w:rsidR="00A8099B" w:rsidRPr="00A8099B" w:rsidRDefault="00A8099B" w:rsidP="00A8099B">
      <w:pPr>
        <w:rPr>
          <w:lang w:val="en-US"/>
        </w:rPr>
      </w:pPr>
    </w:p>
    <w:p w:rsidR="00A8099B" w:rsidRDefault="00A8099B" w:rsidP="00A8099B">
      <w:pPr>
        <w:rPr>
          <w:lang w:val="en-US"/>
        </w:rPr>
      </w:pPr>
    </w:p>
    <w:p w:rsidR="00A8099B" w:rsidRDefault="00A8099B" w:rsidP="00A8099B">
      <w:pPr>
        <w:ind w:firstLine="720"/>
        <w:rPr>
          <w:rFonts w:ascii="Times New Roman" w:eastAsia="Times New Roman" w:hAnsi="Times New Roman" w:cs="Times New Roman"/>
          <w:kern w:val="0"/>
          <w:lang w:val="id-ID" w:eastAsia="zh-CN"/>
          <w14:ligatures w14:val="none"/>
        </w:rPr>
      </w:pPr>
      <w:r w:rsidRPr="00A8099B">
        <w:rPr>
          <w:rFonts w:ascii="Times New Roman" w:eastAsia="Times New Roman" w:hAnsi="Times New Roman" w:cs="Times New Roman"/>
          <w:kern w:val="0"/>
          <w:lang w:val="id-ID" w:eastAsia="zh-CN"/>
          <w14:ligatures w14:val="none"/>
        </w:rPr>
        <w:t>Berdasarkan hasil standardized residual nampak bahwa data berdistribusi normal, karena membentuk kurva normal melengkung</w:t>
      </w:r>
      <w:r>
        <w:rPr>
          <w:rFonts w:ascii="Times New Roman" w:eastAsia="Times New Roman" w:hAnsi="Times New Roman" w:cs="Times New Roman"/>
          <w:kern w:val="0"/>
          <w:lang w:val="id-ID" w:eastAsia="zh-CN"/>
          <w14:ligatures w14:val="none"/>
        </w:rPr>
        <w:t>.</w:t>
      </w:r>
    </w:p>
    <w:p w:rsidR="00A8099B" w:rsidRDefault="00A8099B" w:rsidP="00A8099B">
      <w:pPr>
        <w:jc w:val="both"/>
        <w:rPr>
          <w:rFonts w:asciiTheme="majorBidi" w:hAnsiTheme="majorBidi" w:cstheme="majorBidi"/>
          <w:lang w:val="en-US"/>
        </w:rPr>
      </w:pPr>
    </w:p>
    <w:p w:rsidR="00A8099B" w:rsidRPr="00A8099B" w:rsidRDefault="00A8099B" w:rsidP="00A8099B">
      <w:pPr>
        <w:jc w:val="both"/>
        <w:rPr>
          <w:rFonts w:asciiTheme="majorBidi" w:hAnsiTheme="majorBidi" w:cstheme="majorBidi"/>
          <w:b/>
          <w:bCs/>
          <w:lang w:val="en-US"/>
        </w:rPr>
      </w:pPr>
      <w:r w:rsidRPr="00A8099B">
        <w:rPr>
          <w:rFonts w:asciiTheme="majorBidi" w:hAnsiTheme="majorBidi" w:cstheme="majorBidi"/>
          <w:b/>
          <w:bCs/>
          <w:lang w:val="en-US"/>
        </w:rPr>
        <w:t xml:space="preserve">Uji Multikolinieritas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21"/>
        <w:gridCol w:w="1122"/>
        <w:gridCol w:w="1622"/>
        <w:gridCol w:w="1015"/>
        <w:gridCol w:w="1228"/>
        <w:gridCol w:w="838"/>
        <w:gridCol w:w="646"/>
        <w:gridCol w:w="1078"/>
        <w:gridCol w:w="646"/>
      </w:tblGrid>
      <w:tr w:rsidR="00A8099B" w:rsidRPr="001F0380" w:rsidTr="00A8099B">
        <w:trPr>
          <w:trHeight w:val="290"/>
        </w:trPr>
        <w:tc>
          <w:tcPr>
            <w:tcW w:w="2006" w:type="dxa"/>
            <w:gridSpan w:val="2"/>
            <w:noWrap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</w:pPr>
            <w:bookmarkStart w:id="0" w:name="_Hlk162459793"/>
            <w:r w:rsidRPr="001F0380"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  <w:t>Coefficiensi</w:t>
            </w:r>
          </w:p>
        </w:tc>
        <w:tc>
          <w:tcPr>
            <w:tcW w:w="1596" w:type="dxa"/>
            <w:noWrap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040" w:type="dxa"/>
            <w:noWrap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09" w:type="dxa"/>
            <w:noWrap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27" w:type="dxa"/>
            <w:noWrap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38" w:type="dxa"/>
            <w:gridSpan w:val="3"/>
            <w:noWrap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  <w:t>Collinearity Statistics</w:t>
            </w:r>
          </w:p>
        </w:tc>
      </w:tr>
      <w:tr w:rsidR="00A8099B" w:rsidRPr="001F0380" w:rsidTr="00A8099B">
        <w:trPr>
          <w:trHeight w:val="290"/>
        </w:trPr>
        <w:tc>
          <w:tcPr>
            <w:tcW w:w="846" w:type="dxa"/>
            <w:vMerge w:val="restart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  <w:t>Model</w:t>
            </w:r>
          </w:p>
        </w:tc>
        <w:tc>
          <w:tcPr>
            <w:tcW w:w="1160" w:type="dxa"/>
            <w:vMerge w:val="restart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96" w:type="dxa"/>
            <w:vMerge w:val="restart"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  <w:t>Unstandardized</w:t>
            </w:r>
          </w:p>
        </w:tc>
        <w:tc>
          <w:tcPr>
            <w:tcW w:w="1040" w:type="dxa"/>
            <w:vMerge w:val="restart"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  <w:t>Standard Error</w:t>
            </w:r>
          </w:p>
        </w:tc>
        <w:tc>
          <w:tcPr>
            <w:tcW w:w="1209" w:type="dxa"/>
            <w:vMerge w:val="restart"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  <w:t>Standarizer</w:t>
            </w:r>
          </w:p>
        </w:tc>
        <w:tc>
          <w:tcPr>
            <w:tcW w:w="827" w:type="dxa"/>
            <w:vMerge w:val="restart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  <w:t>t</w:t>
            </w:r>
          </w:p>
        </w:tc>
        <w:tc>
          <w:tcPr>
            <w:tcW w:w="638" w:type="dxa"/>
            <w:vMerge w:val="restart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1062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8" w:type="dxa"/>
            <w:vMerge w:val="restart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  <w:t>VIF</w:t>
            </w:r>
          </w:p>
        </w:tc>
      </w:tr>
      <w:tr w:rsidR="00A8099B" w:rsidRPr="001F0380" w:rsidTr="00A8099B">
        <w:trPr>
          <w:trHeight w:val="290"/>
        </w:trPr>
        <w:tc>
          <w:tcPr>
            <w:tcW w:w="846" w:type="dxa"/>
            <w:vMerge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vMerge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96" w:type="dxa"/>
            <w:vMerge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vMerge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9" w:type="dxa"/>
            <w:vMerge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7" w:type="dxa"/>
            <w:vMerge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8" w:type="dxa"/>
            <w:vMerge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62" w:type="dxa"/>
            <w:noWrap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  <w:t>Tolerance</w:t>
            </w:r>
          </w:p>
        </w:tc>
        <w:tc>
          <w:tcPr>
            <w:tcW w:w="638" w:type="dxa"/>
            <w:vMerge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Palatino Linotype" w:hAnsi="Palatino Linotype" w:cs="Palatino Linotype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8099B" w:rsidRPr="001F0380" w:rsidTr="00A8099B">
        <w:trPr>
          <w:trHeight w:val="480"/>
        </w:trPr>
        <w:tc>
          <w:tcPr>
            <w:tcW w:w="846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vertAlign w:val="subscript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H</w:t>
            </w: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vertAlign w:val="subscript"/>
                <w:lang w:eastAsia="en-US"/>
              </w:rPr>
              <w:t>0</w:t>
            </w:r>
          </w:p>
        </w:tc>
        <w:tc>
          <w:tcPr>
            <w:tcW w:w="1160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(Intercept)</w:t>
            </w:r>
          </w:p>
        </w:tc>
        <w:tc>
          <w:tcPr>
            <w:tcW w:w="1596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97.538</w:t>
            </w:r>
          </w:p>
        </w:tc>
        <w:tc>
          <w:tcPr>
            <w:tcW w:w="1040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0.662</w:t>
            </w:r>
          </w:p>
        </w:tc>
        <w:tc>
          <w:tcPr>
            <w:tcW w:w="1209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7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143.389</w:t>
            </w:r>
          </w:p>
        </w:tc>
        <w:tc>
          <w:tcPr>
            <w:tcW w:w="638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&lt;.001</w:t>
            </w:r>
          </w:p>
        </w:tc>
        <w:tc>
          <w:tcPr>
            <w:tcW w:w="1062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</w:p>
        </w:tc>
      </w:tr>
      <w:tr w:rsidR="00A8099B" w:rsidRPr="001F0380" w:rsidTr="00A8099B">
        <w:trPr>
          <w:trHeight w:val="420"/>
        </w:trPr>
        <w:tc>
          <w:tcPr>
            <w:tcW w:w="846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vertAlign w:val="subscript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H</w:t>
            </w: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vertAlign w:val="subscript"/>
                <w:lang w:eastAsia="en-US"/>
              </w:rPr>
              <w:t>1</w:t>
            </w:r>
          </w:p>
        </w:tc>
        <w:tc>
          <w:tcPr>
            <w:tcW w:w="1160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(Intercept)</w:t>
            </w:r>
          </w:p>
        </w:tc>
        <w:tc>
          <w:tcPr>
            <w:tcW w:w="1596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132.292</w:t>
            </w:r>
          </w:p>
        </w:tc>
        <w:tc>
          <w:tcPr>
            <w:tcW w:w="1040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6.056</w:t>
            </w:r>
          </w:p>
        </w:tc>
        <w:tc>
          <w:tcPr>
            <w:tcW w:w="1209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7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21.847</w:t>
            </w:r>
          </w:p>
        </w:tc>
        <w:tc>
          <w:tcPr>
            <w:tcW w:w="638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&lt;.001</w:t>
            </w:r>
          </w:p>
        </w:tc>
        <w:tc>
          <w:tcPr>
            <w:tcW w:w="1062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8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</w:p>
        </w:tc>
      </w:tr>
      <w:tr w:rsidR="00A8099B" w:rsidRPr="001F0380" w:rsidTr="00A8099B">
        <w:trPr>
          <w:trHeight w:val="410"/>
        </w:trPr>
        <w:tc>
          <w:tcPr>
            <w:tcW w:w="846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Stes Akademik</w:t>
            </w:r>
          </w:p>
        </w:tc>
        <w:tc>
          <w:tcPr>
            <w:tcW w:w="1596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0.049</w:t>
            </w:r>
          </w:p>
        </w:tc>
        <w:tc>
          <w:tcPr>
            <w:tcW w:w="1040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0.066</w:t>
            </w:r>
          </w:p>
        </w:tc>
        <w:tc>
          <w:tcPr>
            <w:tcW w:w="1209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0.049</w:t>
            </w:r>
          </w:p>
        </w:tc>
        <w:tc>
          <w:tcPr>
            <w:tcW w:w="827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-738</w:t>
            </w:r>
          </w:p>
        </w:tc>
        <w:tc>
          <w:tcPr>
            <w:tcW w:w="638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0.461</w:t>
            </w:r>
          </w:p>
        </w:tc>
        <w:tc>
          <w:tcPr>
            <w:tcW w:w="1062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0.870</w:t>
            </w:r>
          </w:p>
        </w:tc>
        <w:tc>
          <w:tcPr>
            <w:tcW w:w="638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1.149</w:t>
            </w:r>
          </w:p>
        </w:tc>
      </w:tr>
      <w:tr w:rsidR="00A8099B" w:rsidRPr="001F0380" w:rsidTr="00A8099B">
        <w:trPr>
          <w:trHeight w:val="420"/>
        </w:trPr>
        <w:tc>
          <w:tcPr>
            <w:tcW w:w="846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Cognitive Load</w:t>
            </w:r>
          </w:p>
        </w:tc>
        <w:tc>
          <w:tcPr>
            <w:tcW w:w="1596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-1.134</w:t>
            </w:r>
          </w:p>
        </w:tc>
        <w:tc>
          <w:tcPr>
            <w:tcW w:w="1040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0.190</w:t>
            </w:r>
          </w:p>
        </w:tc>
        <w:tc>
          <w:tcPr>
            <w:tcW w:w="1209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0.395</w:t>
            </w:r>
          </w:p>
        </w:tc>
        <w:tc>
          <w:tcPr>
            <w:tcW w:w="827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-5.979</w:t>
            </w:r>
          </w:p>
        </w:tc>
        <w:tc>
          <w:tcPr>
            <w:tcW w:w="638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&lt;.001</w:t>
            </w:r>
          </w:p>
        </w:tc>
        <w:tc>
          <w:tcPr>
            <w:tcW w:w="1062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0.870</w:t>
            </w:r>
          </w:p>
        </w:tc>
        <w:tc>
          <w:tcPr>
            <w:tcW w:w="638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</w:pPr>
            <w:r w:rsidRPr="001F0380">
              <w:rPr>
                <w:rFonts w:ascii="Palatino Linotype" w:hAnsi="Palatino Linotype" w:cs="Palatino Linotype"/>
                <w:color w:val="000000"/>
                <w:sz w:val="20"/>
                <w:szCs w:val="20"/>
                <w:lang w:eastAsia="en-US"/>
              </w:rPr>
              <w:t>1.149</w:t>
            </w:r>
          </w:p>
        </w:tc>
      </w:tr>
      <w:bookmarkEnd w:id="0"/>
    </w:tbl>
    <w:p w:rsidR="00A8099B" w:rsidRPr="00FD5136" w:rsidRDefault="00A8099B" w:rsidP="00A8099B">
      <w:pPr>
        <w:ind w:firstLine="720"/>
        <w:jc w:val="both"/>
        <w:rPr>
          <w:rFonts w:asciiTheme="majorBidi" w:hAnsiTheme="majorBidi" w:cstheme="majorBidi"/>
          <w:lang w:val="en-US"/>
        </w:rPr>
      </w:pPr>
    </w:p>
    <w:p w:rsidR="00A8099B" w:rsidRDefault="00A8099B" w:rsidP="00A8099B">
      <w:pPr>
        <w:ind w:firstLine="720"/>
        <w:jc w:val="both"/>
        <w:rPr>
          <w:rFonts w:asciiTheme="majorBidi" w:hAnsiTheme="majorBidi" w:cstheme="majorBidi"/>
          <w:lang w:val="en-US"/>
        </w:rPr>
      </w:pPr>
      <w:r w:rsidRPr="00FD5136">
        <w:rPr>
          <w:rFonts w:asciiTheme="majorBidi" w:hAnsiTheme="majorBidi" w:cstheme="majorBidi"/>
        </w:rPr>
        <w:t xml:space="preserve">Berdasarkan hasil </w:t>
      </w:r>
      <w:r w:rsidRPr="00FD5136">
        <w:rPr>
          <w:rFonts w:asciiTheme="majorBidi" w:hAnsiTheme="majorBidi" w:cstheme="majorBidi"/>
          <w:i/>
          <w:iCs/>
        </w:rPr>
        <w:t>collinearity statistic</w:t>
      </w:r>
      <w:r w:rsidRPr="00FD5136">
        <w:rPr>
          <w:rFonts w:asciiTheme="majorBidi" w:hAnsiTheme="majorBidi" w:cstheme="majorBidi"/>
        </w:rPr>
        <w:t>, nilai VIF 1.149 &lt; 10</w:t>
      </w:r>
      <w:r w:rsidRPr="00FD5136">
        <w:rPr>
          <w:rFonts w:asciiTheme="majorBidi" w:hAnsiTheme="majorBidi" w:cstheme="majorBidi"/>
          <w:lang w:val="en-US"/>
        </w:rPr>
        <w:t>, m</w:t>
      </w:r>
      <w:r w:rsidRPr="00FD5136">
        <w:rPr>
          <w:rFonts w:asciiTheme="majorBidi" w:hAnsiTheme="majorBidi" w:cstheme="majorBidi"/>
        </w:rPr>
        <w:t>aka tidak terjadi multikolinieritas</w:t>
      </w:r>
      <w:r w:rsidRPr="00FD5136">
        <w:rPr>
          <w:rFonts w:asciiTheme="majorBidi" w:hAnsiTheme="majorBidi" w:cstheme="majorBidi"/>
          <w:lang w:val="en-US"/>
        </w:rPr>
        <w:t xml:space="preserve"> pada data penelitian.</w:t>
      </w:r>
    </w:p>
    <w:p w:rsidR="00A8099B" w:rsidRDefault="00A8099B" w:rsidP="00A8099B">
      <w:pPr>
        <w:ind w:firstLine="720"/>
        <w:jc w:val="both"/>
        <w:rPr>
          <w:rFonts w:asciiTheme="majorBidi" w:hAnsiTheme="majorBidi" w:cstheme="majorBidi"/>
          <w:lang w:val="en-US"/>
        </w:rPr>
      </w:pPr>
    </w:p>
    <w:p w:rsidR="00A8099B" w:rsidRPr="00FD5136" w:rsidRDefault="00A8099B" w:rsidP="00A8099B">
      <w:pPr>
        <w:ind w:firstLine="720"/>
        <w:jc w:val="both"/>
        <w:rPr>
          <w:rFonts w:asciiTheme="majorBidi" w:hAnsiTheme="majorBidi" w:cstheme="majorBidi"/>
        </w:rPr>
      </w:pPr>
    </w:p>
    <w:p w:rsidR="00A8099B" w:rsidRPr="00A8099B" w:rsidRDefault="00A8099B" w:rsidP="00A8099B">
      <w:pPr>
        <w:ind w:firstLine="720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:rsidR="00A8099B" w:rsidRDefault="00A8099B" w:rsidP="00A8099B">
      <w:pPr>
        <w:rPr>
          <w:b/>
          <w:bCs/>
          <w:lang w:val="en-US"/>
        </w:rPr>
      </w:pPr>
      <w:r w:rsidRPr="00A8099B">
        <w:rPr>
          <w:b/>
          <w:bCs/>
          <w:lang w:val="en-US"/>
        </w:rPr>
        <w:lastRenderedPageBreak/>
        <w:t>Uji Linieritas</w:t>
      </w:r>
      <w:r w:rsidRPr="00FD5136">
        <w:rPr>
          <w:noProof/>
          <w:sz w:val="20"/>
          <w:szCs w:val="20"/>
          <w:lang w:val="en-US"/>
        </w:rPr>
        <w:drawing>
          <wp:anchor distT="0" distB="0" distL="114300" distR="114300" simplePos="0" relativeHeight="251661312" behindDoc="1" locked="0" layoutInCell="1" allowOverlap="1" wp14:anchorId="3AED9DE1" wp14:editId="48CE970E">
            <wp:simplePos x="0" y="0"/>
            <wp:positionH relativeFrom="margin">
              <wp:posOffset>0</wp:posOffset>
            </wp:positionH>
            <wp:positionV relativeFrom="paragraph">
              <wp:posOffset>280035</wp:posOffset>
            </wp:positionV>
            <wp:extent cx="3034665" cy="2349500"/>
            <wp:effectExtent l="0" t="0" r="0" b="0"/>
            <wp:wrapTight wrapText="bothSides">
              <wp:wrapPolygon edited="0">
                <wp:start x="0" y="0"/>
                <wp:lineTo x="0" y="21366"/>
                <wp:lineTo x="21424" y="21366"/>
                <wp:lineTo x="21424" y="0"/>
                <wp:lineTo x="0" y="0"/>
              </wp:wrapPolygon>
            </wp:wrapTight>
            <wp:docPr id="1029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3034665" cy="234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8099B" w:rsidRPr="00A8099B" w:rsidRDefault="00A8099B" w:rsidP="00A8099B">
      <w:pPr>
        <w:rPr>
          <w:lang w:val="en-US"/>
        </w:rPr>
      </w:pPr>
    </w:p>
    <w:p w:rsidR="00A8099B" w:rsidRPr="00A8099B" w:rsidRDefault="00A8099B" w:rsidP="00A8099B">
      <w:pPr>
        <w:rPr>
          <w:lang w:val="en-US"/>
        </w:rPr>
      </w:pPr>
    </w:p>
    <w:p w:rsidR="00A8099B" w:rsidRPr="00A8099B" w:rsidRDefault="00A8099B" w:rsidP="00A8099B">
      <w:pPr>
        <w:rPr>
          <w:lang w:val="en-US"/>
        </w:rPr>
      </w:pPr>
    </w:p>
    <w:p w:rsidR="00A8099B" w:rsidRPr="00A8099B" w:rsidRDefault="00A8099B" w:rsidP="00A8099B">
      <w:pPr>
        <w:rPr>
          <w:lang w:val="en-US"/>
        </w:rPr>
      </w:pPr>
    </w:p>
    <w:p w:rsidR="00A8099B" w:rsidRPr="00A8099B" w:rsidRDefault="00A8099B" w:rsidP="00A8099B">
      <w:pPr>
        <w:rPr>
          <w:lang w:val="en-US"/>
        </w:rPr>
      </w:pPr>
    </w:p>
    <w:p w:rsidR="00A8099B" w:rsidRPr="00A8099B" w:rsidRDefault="00A8099B" w:rsidP="00A8099B">
      <w:pPr>
        <w:rPr>
          <w:lang w:val="en-US"/>
        </w:rPr>
      </w:pPr>
    </w:p>
    <w:p w:rsidR="00A8099B" w:rsidRPr="00A8099B" w:rsidRDefault="00A8099B" w:rsidP="00A8099B">
      <w:pPr>
        <w:rPr>
          <w:lang w:val="en-US"/>
        </w:rPr>
      </w:pPr>
    </w:p>
    <w:p w:rsidR="00A8099B" w:rsidRPr="00A8099B" w:rsidRDefault="00A8099B" w:rsidP="00A8099B">
      <w:pPr>
        <w:rPr>
          <w:lang w:val="en-US"/>
        </w:rPr>
      </w:pPr>
    </w:p>
    <w:p w:rsidR="00A8099B" w:rsidRPr="00A8099B" w:rsidRDefault="00A8099B" w:rsidP="00A8099B">
      <w:pPr>
        <w:rPr>
          <w:lang w:val="en-US"/>
        </w:rPr>
      </w:pPr>
    </w:p>
    <w:p w:rsidR="00A8099B" w:rsidRDefault="00A8099B" w:rsidP="00A8099B">
      <w:pPr>
        <w:rPr>
          <w:b/>
          <w:bCs/>
          <w:lang w:val="en-US"/>
        </w:rPr>
      </w:pPr>
    </w:p>
    <w:p w:rsidR="00A8099B" w:rsidRDefault="00A8099B" w:rsidP="00A8099B">
      <w:pPr>
        <w:ind w:firstLine="720"/>
        <w:jc w:val="both"/>
        <w:rPr>
          <w:rFonts w:asciiTheme="majorBidi" w:hAnsiTheme="majorBidi" w:cstheme="majorBidi"/>
          <w:bCs/>
        </w:rPr>
      </w:pPr>
      <w:r w:rsidRPr="00FD5136">
        <w:rPr>
          <w:rFonts w:asciiTheme="majorBidi" w:hAnsiTheme="majorBidi" w:cstheme="majorBidi"/>
          <w:bCs/>
        </w:rPr>
        <w:t>Berdasarkan gambar di atas menunjukkan  bahwa variabel stes akademik dan motivasi belajar datanya linear.</w:t>
      </w:r>
    </w:p>
    <w:p w:rsidR="00A8099B" w:rsidRPr="00FD5136" w:rsidRDefault="00A8099B" w:rsidP="00A8099B">
      <w:pPr>
        <w:ind w:firstLine="720"/>
        <w:jc w:val="both"/>
        <w:rPr>
          <w:rFonts w:asciiTheme="majorBidi" w:hAnsiTheme="majorBidi" w:cstheme="majorBidi"/>
          <w:bCs/>
        </w:rPr>
      </w:pPr>
    </w:p>
    <w:p w:rsidR="00A8099B" w:rsidRDefault="00A8099B" w:rsidP="00A8099B">
      <w:pPr>
        <w:rPr>
          <w:b/>
          <w:bCs/>
        </w:rPr>
      </w:pPr>
      <w:r w:rsidRPr="00A8099B">
        <w:rPr>
          <w:b/>
          <w:bCs/>
        </w:rPr>
        <w:t xml:space="preserve"> Uji Linieritas </w:t>
      </w:r>
      <w:r w:rsidRPr="00FD5136">
        <w:rPr>
          <w:rFonts w:asciiTheme="majorBidi" w:hAnsiTheme="majorBidi" w:cstheme="majorBidi"/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3AE3796F" wp14:editId="43B66A45">
            <wp:simplePos x="0" y="0"/>
            <wp:positionH relativeFrom="margin">
              <wp:posOffset>0</wp:posOffset>
            </wp:positionH>
            <wp:positionV relativeFrom="paragraph">
              <wp:posOffset>288925</wp:posOffset>
            </wp:positionV>
            <wp:extent cx="2822575" cy="2353310"/>
            <wp:effectExtent l="0" t="0" r="0" b="0"/>
            <wp:wrapTight wrapText="bothSides">
              <wp:wrapPolygon edited="0">
                <wp:start x="0" y="0"/>
                <wp:lineTo x="0" y="21507"/>
                <wp:lineTo x="21430" y="21507"/>
                <wp:lineTo x="21430" y="0"/>
                <wp:lineTo x="0" y="0"/>
              </wp:wrapPolygon>
            </wp:wrapTight>
            <wp:docPr id="1030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2822575" cy="2353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8099B" w:rsidRPr="00A8099B" w:rsidRDefault="00A8099B" w:rsidP="00A8099B"/>
    <w:p w:rsidR="00A8099B" w:rsidRPr="00A8099B" w:rsidRDefault="00A8099B" w:rsidP="00A8099B"/>
    <w:p w:rsidR="00A8099B" w:rsidRPr="00A8099B" w:rsidRDefault="00A8099B" w:rsidP="00A8099B"/>
    <w:p w:rsidR="00A8099B" w:rsidRPr="00A8099B" w:rsidRDefault="00A8099B" w:rsidP="00A8099B"/>
    <w:p w:rsidR="00A8099B" w:rsidRPr="00A8099B" w:rsidRDefault="00A8099B" w:rsidP="00A8099B"/>
    <w:p w:rsidR="00A8099B" w:rsidRPr="00A8099B" w:rsidRDefault="00A8099B" w:rsidP="00A8099B"/>
    <w:p w:rsidR="00A8099B" w:rsidRPr="00A8099B" w:rsidRDefault="00A8099B" w:rsidP="00A8099B"/>
    <w:p w:rsidR="00A8099B" w:rsidRPr="00A8099B" w:rsidRDefault="00A8099B" w:rsidP="00A8099B"/>
    <w:p w:rsidR="00A8099B" w:rsidRPr="00A8099B" w:rsidRDefault="00A8099B" w:rsidP="00A8099B"/>
    <w:p w:rsidR="00A8099B" w:rsidRPr="00FD5136" w:rsidRDefault="00A8099B" w:rsidP="00A8099B">
      <w:pPr>
        <w:ind w:firstLine="720"/>
        <w:jc w:val="both"/>
        <w:rPr>
          <w:rFonts w:asciiTheme="majorBidi" w:hAnsiTheme="majorBidi" w:cstheme="majorBidi"/>
          <w:bCs/>
          <w:lang w:val="en-US"/>
        </w:rPr>
      </w:pPr>
      <w:r w:rsidRPr="00FD5136">
        <w:rPr>
          <w:rFonts w:asciiTheme="majorBidi" w:hAnsiTheme="majorBidi" w:cstheme="majorBidi"/>
          <w:bCs/>
        </w:rPr>
        <w:t>Berdasarkan gambar di tas menunjukkan bahwa variabel cognitive load dan motivasi belajar datanya linear</w:t>
      </w:r>
      <w:r w:rsidRPr="00FD5136">
        <w:rPr>
          <w:rFonts w:asciiTheme="majorBidi" w:hAnsiTheme="majorBidi" w:cstheme="majorBidi"/>
          <w:bCs/>
          <w:lang w:val="en-US"/>
        </w:rPr>
        <w:t>.</w:t>
      </w:r>
    </w:p>
    <w:p w:rsidR="00A8099B" w:rsidRDefault="00A8099B" w:rsidP="00A8099B">
      <w:pPr>
        <w:rPr>
          <w:lang w:val="en-US"/>
        </w:rPr>
      </w:pPr>
    </w:p>
    <w:p w:rsidR="00A8099B" w:rsidRPr="00A8099B" w:rsidRDefault="00A8099B" w:rsidP="00A8099B">
      <w:pPr>
        <w:ind w:firstLine="720"/>
        <w:jc w:val="both"/>
        <w:rPr>
          <w:rFonts w:asciiTheme="majorBidi" w:hAnsiTheme="majorBidi" w:cstheme="majorBidi"/>
          <w:b/>
          <w:bCs/>
          <w:lang w:val="en-US"/>
        </w:rPr>
      </w:pPr>
      <w:r w:rsidRPr="00A8099B">
        <w:rPr>
          <w:rFonts w:asciiTheme="majorBidi" w:hAnsiTheme="majorBidi" w:cstheme="majorBidi"/>
          <w:b/>
          <w:bCs/>
          <w:lang w:val="en-US"/>
        </w:rPr>
        <w:t xml:space="preserve">Hasil Hipotesa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6"/>
        <w:gridCol w:w="1606"/>
        <w:gridCol w:w="1414"/>
        <w:gridCol w:w="2379"/>
        <w:gridCol w:w="2101"/>
      </w:tblGrid>
      <w:tr w:rsidR="00A8099B" w:rsidRPr="00FD5136" w:rsidTr="003576FB">
        <w:trPr>
          <w:trHeight w:val="450"/>
        </w:trPr>
        <w:tc>
          <w:tcPr>
            <w:tcW w:w="6345" w:type="dxa"/>
            <w:gridSpan w:val="4"/>
            <w:noWrap/>
            <w:hideMark/>
          </w:tcPr>
          <w:p w:rsidR="00A8099B" w:rsidRPr="00FD5136" w:rsidRDefault="00A8099B" w:rsidP="003576FB">
            <w:pPr>
              <w:ind w:firstLine="720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  <w:bookmarkStart w:id="1" w:name="_Hlk168626519"/>
            <w:r w:rsidRPr="00FD5136">
              <w:rPr>
                <w:rFonts w:asciiTheme="majorBidi" w:hAnsiTheme="majorBidi" w:cstheme="majorBidi"/>
                <w:b/>
                <w:bCs/>
                <w:lang w:val="en-US"/>
              </w:rPr>
              <w:t>Model Summary-Motivasi Belajar</w:t>
            </w:r>
          </w:p>
        </w:tc>
        <w:tc>
          <w:tcPr>
            <w:tcW w:w="2127" w:type="dxa"/>
            <w:noWrap/>
            <w:hideMark/>
          </w:tcPr>
          <w:p w:rsidR="00A8099B" w:rsidRPr="00FD5136" w:rsidRDefault="00A8099B" w:rsidP="003576FB">
            <w:pPr>
              <w:ind w:firstLine="720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FD5136">
              <w:rPr>
                <w:rFonts w:asciiTheme="majorBidi" w:hAnsiTheme="majorBidi" w:cstheme="majorBidi"/>
                <w:b/>
                <w:bCs/>
                <w:lang w:val="en-US"/>
              </w:rPr>
              <w:t> </w:t>
            </w:r>
          </w:p>
        </w:tc>
      </w:tr>
      <w:tr w:rsidR="00A8099B" w:rsidRPr="00FD5136" w:rsidTr="003576FB">
        <w:trPr>
          <w:trHeight w:val="500"/>
        </w:trPr>
        <w:tc>
          <w:tcPr>
            <w:tcW w:w="893" w:type="dxa"/>
            <w:noWrap/>
            <w:hideMark/>
          </w:tcPr>
          <w:p w:rsidR="00A8099B" w:rsidRPr="00FD5136" w:rsidRDefault="00A8099B" w:rsidP="003576FB">
            <w:pPr>
              <w:ind w:firstLine="720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FD5136">
              <w:rPr>
                <w:rFonts w:asciiTheme="majorBidi" w:hAnsiTheme="majorBidi" w:cstheme="majorBidi"/>
                <w:b/>
                <w:bCs/>
                <w:lang w:val="en-US"/>
              </w:rPr>
              <w:t>Model</w:t>
            </w:r>
          </w:p>
        </w:tc>
        <w:tc>
          <w:tcPr>
            <w:tcW w:w="1625" w:type="dxa"/>
            <w:noWrap/>
            <w:hideMark/>
          </w:tcPr>
          <w:p w:rsidR="00A8099B" w:rsidRPr="00FD5136" w:rsidRDefault="00A8099B" w:rsidP="003576FB">
            <w:pPr>
              <w:ind w:firstLine="720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FD5136">
              <w:rPr>
                <w:rFonts w:asciiTheme="majorBidi" w:hAnsiTheme="majorBidi" w:cstheme="majorBidi"/>
                <w:b/>
                <w:bCs/>
                <w:lang w:val="en-US"/>
              </w:rPr>
              <w:t>R</w:t>
            </w:r>
          </w:p>
        </w:tc>
        <w:tc>
          <w:tcPr>
            <w:tcW w:w="1418" w:type="dxa"/>
            <w:noWrap/>
            <w:hideMark/>
          </w:tcPr>
          <w:p w:rsidR="00A8099B" w:rsidRPr="00FD5136" w:rsidRDefault="00A8099B" w:rsidP="003576FB">
            <w:pPr>
              <w:ind w:firstLine="720"/>
              <w:jc w:val="both"/>
              <w:rPr>
                <w:rFonts w:asciiTheme="majorBidi" w:hAnsiTheme="majorBidi" w:cstheme="majorBidi"/>
                <w:b/>
                <w:bCs/>
                <w:vertAlign w:val="superscript"/>
                <w:lang w:val="en-US"/>
              </w:rPr>
            </w:pPr>
            <w:r w:rsidRPr="00FD5136">
              <w:rPr>
                <w:rFonts w:asciiTheme="majorBidi" w:hAnsiTheme="majorBidi" w:cstheme="majorBidi"/>
                <w:b/>
                <w:bCs/>
                <w:lang w:val="en-US"/>
              </w:rPr>
              <w:t>R</w:t>
            </w:r>
            <w:r w:rsidRPr="00FD5136">
              <w:rPr>
                <w:rFonts w:asciiTheme="majorBidi" w:hAnsiTheme="majorBidi" w:cstheme="majorBidi"/>
                <w:b/>
                <w:bCs/>
                <w:vertAlign w:val="superscript"/>
                <w:lang w:val="en-US"/>
              </w:rPr>
              <w:t>2</w:t>
            </w:r>
          </w:p>
        </w:tc>
        <w:tc>
          <w:tcPr>
            <w:tcW w:w="2409" w:type="dxa"/>
            <w:noWrap/>
            <w:hideMark/>
          </w:tcPr>
          <w:p w:rsidR="00A8099B" w:rsidRPr="00FD5136" w:rsidRDefault="00A8099B" w:rsidP="003576FB">
            <w:pPr>
              <w:ind w:firstLine="720"/>
              <w:jc w:val="both"/>
              <w:rPr>
                <w:rFonts w:asciiTheme="majorBidi" w:hAnsiTheme="majorBidi" w:cstheme="majorBidi"/>
                <w:b/>
                <w:bCs/>
                <w:vertAlign w:val="superscript"/>
                <w:lang w:val="en-US"/>
              </w:rPr>
            </w:pPr>
            <w:r w:rsidRPr="00FD5136">
              <w:rPr>
                <w:rFonts w:asciiTheme="majorBidi" w:hAnsiTheme="majorBidi" w:cstheme="majorBidi"/>
                <w:b/>
                <w:bCs/>
                <w:lang w:val="en-US"/>
              </w:rPr>
              <w:t>Adjusted R</w:t>
            </w:r>
            <w:r w:rsidRPr="00FD5136">
              <w:rPr>
                <w:rFonts w:asciiTheme="majorBidi" w:hAnsiTheme="majorBidi" w:cstheme="majorBidi"/>
                <w:b/>
                <w:bCs/>
                <w:vertAlign w:val="superscript"/>
                <w:lang w:val="en-US"/>
              </w:rPr>
              <w:t>2</w:t>
            </w:r>
          </w:p>
        </w:tc>
        <w:tc>
          <w:tcPr>
            <w:tcW w:w="2127" w:type="dxa"/>
            <w:noWrap/>
            <w:hideMark/>
          </w:tcPr>
          <w:p w:rsidR="00A8099B" w:rsidRPr="00FD5136" w:rsidRDefault="00A8099B" w:rsidP="003576FB">
            <w:pPr>
              <w:ind w:firstLine="720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FD5136">
              <w:rPr>
                <w:rFonts w:asciiTheme="majorBidi" w:hAnsiTheme="majorBidi" w:cstheme="majorBidi"/>
                <w:b/>
                <w:bCs/>
                <w:lang w:val="en-US"/>
              </w:rPr>
              <w:t>RMSE</w:t>
            </w:r>
          </w:p>
        </w:tc>
      </w:tr>
      <w:tr w:rsidR="00A8099B" w:rsidRPr="00FD5136" w:rsidTr="003576FB">
        <w:trPr>
          <w:trHeight w:val="290"/>
        </w:trPr>
        <w:tc>
          <w:tcPr>
            <w:tcW w:w="893" w:type="dxa"/>
            <w:noWrap/>
            <w:hideMark/>
          </w:tcPr>
          <w:p w:rsidR="00A8099B" w:rsidRPr="00FD5136" w:rsidRDefault="00A8099B" w:rsidP="003576FB">
            <w:pPr>
              <w:ind w:firstLine="720"/>
              <w:jc w:val="both"/>
              <w:rPr>
                <w:rFonts w:asciiTheme="majorBidi" w:hAnsiTheme="majorBidi" w:cstheme="majorBidi"/>
                <w:bCs/>
                <w:vertAlign w:val="subscript"/>
                <w:lang w:val="en-US"/>
              </w:rPr>
            </w:pPr>
            <w:r w:rsidRPr="00FD5136">
              <w:rPr>
                <w:rFonts w:asciiTheme="majorBidi" w:hAnsiTheme="majorBidi" w:cstheme="majorBidi"/>
                <w:bCs/>
                <w:lang w:val="en-US"/>
              </w:rPr>
              <w:t>H</w:t>
            </w:r>
            <w:r w:rsidRPr="00FD5136">
              <w:rPr>
                <w:rFonts w:asciiTheme="majorBidi" w:hAnsiTheme="majorBidi" w:cstheme="majorBidi"/>
                <w:bCs/>
                <w:vertAlign w:val="subscript"/>
                <w:lang w:val="en-US"/>
              </w:rPr>
              <w:t>0</w:t>
            </w:r>
          </w:p>
        </w:tc>
        <w:tc>
          <w:tcPr>
            <w:tcW w:w="1625" w:type="dxa"/>
            <w:noWrap/>
            <w:hideMark/>
          </w:tcPr>
          <w:p w:rsidR="00A8099B" w:rsidRPr="00FD5136" w:rsidRDefault="00A8099B" w:rsidP="003576FB">
            <w:pPr>
              <w:ind w:firstLine="720"/>
              <w:jc w:val="both"/>
              <w:rPr>
                <w:rFonts w:asciiTheme="majorBidi" w:hAnsiTheme="majorBidi" w:cstheme="majorBidi"/>
                <w:bCs/>
                <w:lang w:val="en-US"/>
              </w:rPr>
            </w:pPr>
            <w:r w:rsidRPr="00FD5136">
              <w:rPr>
                <w:rFonts w:asciiTheme="majorBidi" w:hAnsiTheme="majorBidi" w:cstheme="majorBidi"/>
                <w:bCs/>
                <w:lang w:val="en-US"/>
              </w:rPr>
              <w:t>0.000</w:t>
            </w:r>
          </w:p>
        </w:tc>
        <w:tc>
          <w:tcPr>
            <w:tcW w:w="1418" w:type="dxa"/>
            <w:noWrap/>
            <w:hideMark/>
          </w:tcPr>
          <w:p w:rsidR="00A8099B" w:rsidRPr="00FD5136" w:rsidRDefault="00A8099B" w:rsidP="003576FB">
            <w:pPr>
              <w:ind w:firstLine="720"/>
              <w:jc w:val="both"/>
              <w:rPr>
                <w:rFonts w:asciiTheme="majorBidi" w:hAnsiTheme="majorBidi" w:cstheme="majorBidi"/>
                <w:bCs/>
                <w:lang w:val="en-US"/>
              </w:rPr>
            </w:pPr>
            <w:r w:rsidRPr="00FD5136">
              <w:rPr>
                <w:rFonts w:asciiTheme="majorBidi" w:hAnsiTheme="majorBidi" w:cstheme="majorBidi"/>
                <w:bCs/>
                <w:lang w:val="en-US"/>
              </w:rPr>
              <w:t>0.000</w:t>
            </w:r>
          </w:p>
        </w:tc>
        <w:tc>
          <w:tcPr>
            <w:tcW w:w="2409" w:type="dxa"/>
            <w:noWrap/>
            <w:hideMark/>
          </w:tcPr>
          <w:p w:rsidR="00A8099B" w:rsidRPr="00FD5136" w:rsidRDefault="00A8099B" w:rsidP="003576FB">
            <w:pPr>
              <w:ind w:firstLine="720"/>
              <w:jc w:val="both"/>
              <w:rPr>
                <w:rFonts w:asciiTheme="majorBidi" w:hAnsiTheme="majorBidi" w:cstheme="majorBidi"/>
                <w:bCs/>
                <w:lang w:val="en-US"/>
              </w:rPr>
            </w:pPr>
            <w:r w:rsidRPr="00FD5136">
              <w:rPr>
                <w:rFonts w:asciiTheme="majorBidi" w:hAnsiTheme="majorBidi" w:cstheme="majorBidi"/>
                <w:bCs/>
                <w:lang w:val="en-US"/>
              </w:rPr>
              <w:t>0.000</w:t>
            </w:r>
          </w:p>
        </w:tc>
        <w:tc>
          <w:tcPr>
            <w:tcW w:w="2127" w:type="dxa"/>
            <w:noWrap/>
            <w:hideMark/>
          </w:tcPr>
          <w:p w:rsidR="00A8099B" w:rsidRPr="00FD5136" w:rsidRDefault="00A8099B" w:rsidP="003576FB">
            <w:pPr>
              <w:ind w:firstLine="720"/>
              <w:jc w:val="both"/>
              <w:rPr>
                <w:rFonts w:asciiTheme="majorBidi" w:hAnsiTheme="majorBidi" w:cstheme="majorBidi"/>
                <w:bCs/>
                <w:lang w:val="en-US"/>
              </w:rPr>
            </w:pPr>
            <w:r w:rsidRPr="00FD5136">
              <w:rPr>
                <w:rFonts w:asciiTheme="majorBidi" w:hAnsiTheme="majorBidi" w:cstheme="majorBidi"/>
                <w:bCs/>
                <w:lang w:val="en-US"/>
              </w:rPr>
              <w:t>9.838</w:t>
            </w:r>
          </w:p>
        </w:tc>
      </w:tr>
      <w:tr w:rsidR="00A8099B" w:rsidRPr="00FD5136" w:rsidTr="003576FB">
        <w:trPr>
          <w:trHeight w:val="290"/>
        </w:trPr>
        <w:tc>
          <w:tcPr>
            <w:tcW w:w="893" w:type="dxa"/>
            <w:noWrap/>
            <w:hideMark/>
          </w:tcPr>
          <w:p w:rsidR="00A8099B" w:rsidRPr="00FD5136" w:rsidRDefault="00A8099B" w:rsidP="003576FB">
            <w:pPr>
              <w:ind w:firstLine="720"/>
              <w:jc w:val="both"/>
              <w:rPr>
                <w:rFonts w:asciiTheme="majorBidi" w:hAnsiTheme="majorBidi" w:cstheme="majorBidi"/>
                <w:bCs/>
                <w:vertAlign w:val="subscript"/>
                <w:lang w:val="en-US"/>
              </w:rPr>
            </w:pPr>
            <w:r w:rsidRPr="00FD5136">
              <w:rPr>
                <w:rFonts w:asciiTheme="majorBidi" w:hAnsiTheme="majorBidi" w:cstheme="majorBidi"/>
                <w:bCs/>
                <w:lang w:val="en-US"/>
              </w:rPr>
              <w:lastRenderedPageBreak/>
              <w:t>H</w:t>
            </w:r>
            <w:r w:rsidRPr="00FD5136">
              <w:rPr>
                <w:rFonts w:asciiTheme="majorBidi" w:hAnsiTheme="majorBidi" w:cstheme="majorBidi"/>
                <w:bCs/>
                <w:vertAlign w:val="subscript"/>
                <w:lang w:val="en-US"/>
              </w:rPr>
              <w:t>1</w:t>
            </w:r>
          </w:p>
        </w:tc>
        <w:tc>
          <w:tcPr>
            <w:tcW w:w="1625" w:type="dxa"/>
            <w:noWrap/>
            <w:hideMark/>
          </w:tcPr>
          <w:p w:rsidR="00A8099B" w:rsidRPr="00FD5136" w:rsidRDefault="00A8099B" w:rsidP="003576FB">
            <w:pPr>
              <w:ind w:firstLine="720"/>
              <w:jc w:val="both"/>
              <w:rPr>
                <w:rFonts w:asciiTheme="majorBidi" w:hAnsiTheme="majorBidi" w:cstheme="majorBidi"/>
                <w:bCs/>
                <w:lang w:val="en-US"/>
              </w:rPr>
            </w:pPr>
            <w:r w:rsidRPr="00FD5136">
              <w:rPr>
                <w:rFonts w:asciiTheme="majorBidi" w:hAnsiTheme="majorBidi" w:cstheme="majorBidi"/>
                <w:bCs/>
                <w:lang w:val="en-US"/>
              </w:rPr>
              <w:t>0.415</w:t>
            </w:r>
          </w:p>
        </w:tc>
        <w:tc>
          <w:tcPr>
            <w:tcW w:w="1418" w:type="dxa"/>
            <w:noWrap/>
            <w:hideMark/>
          </w:tcPr>
          <w:p w:rsidR="00A8099B" w:rsidRPr="00FD5136" w:rsidRDefault="00A8099B" w:rsidP="003576FB">
            <w:pPr>
              <w:ind w:firstLine="720"/>
              <w:jc w:val="both"/>
              <w:rPr>
                <w:rFonts w:asciiTheme="majorBidi" w:hAnsiTheme="majorBidi" w:cstheme="majorBidi"/>
                <w:bCs/>
                <w:lang w:val="en-US"/>
              </w:rPr>
            </w:pPr>
            <w:r w:rsidRPr="00FD5136">
              <w:rPr>
                <w:rFonts w:asciiTheme="majorBidi" w:hAnsiTheme="majorBidi" w:cstheme="majorBidi"/>
                <w:bCs/>
                <w:lang w:val="en-US"/>
              </w:rPr>
              <w:t>0.172</w:t>
            </w:r>
          </w:p>
        </w:tc>
        <w:tc>
          <w:tcPr>
            <w:tcW w:w="2409" w:type="dxa"/>
            <w:noWrap/>
            <w:hideMark/>
          </w:tcPr>
          <w:p w:rsidR="00A8099B" w:rsidRPr="00FD5136" w:rsidRDefault="00A8099B" w:rsidP="003576FB">
            <w:pPr>
              <w:ind w:firstLine="720"/>
              <w:jc w:val="both"/>
              <w:rPr>
                <w:rFonts w:asciiTheme="majorBidi" w:hAnsiTheme="majorBidi" w:cstheme="majorBidi"/>
                <w:bCs/>
                <w:lang w:val="en-US"/>
              </w:rPr>
            </w:pPr>
            <w:r w:rsidRPr="00FD5136">
              <w:rPr>
                <w:rFonts w:asciiTheme="majorBidi" w:hAnsiTheme="majorBidi" w:cstheme="majorBidi"/>
                <w:bCs/>
                <w:lang w:val="en-US"/>
              </w:rPr>
              <w:t>0.165</w:t>
            </w:r>
          </w:p>
        </w:tc>
        <w:tc>
          <w:tcPr>
            <w:tcW w:w="2127" w:type="dxa"/>
            <w:noWrap/>
            <w:hideMark/>
          </w:tcPr>
          <w:p w:rsidR="00A8099B" w:rsidRPr="00FD5136" w:rsidRDefault="00A8099B" w:rsidP="003576FB">
            <w:pPr>
              <w:ind w:firstLine="720"/>
              <w:jc w:val="both"/>
              <w:rPr>
                <w:rFonts w:asciiTheme="majorBidi" w:hAnsiTheme="majorBidi" w:cstheme="majorBidi"/>
                <w:bCs/>
                <w:lang w:val="en-US"/>
              </w:rPr>
            </w:pPr>
            <w:r w:rsidRPr="00FD5136">
              <w:rPr>
                <w:rFonts w:asciiTheme="majorBidi" w:hAnsiTheme="majorBidi" w:cstheme="majorBidi"/>
                <w:bCs/>
                <w:lang w:val="en-US"/>
              </w:rPr>
              <w:t>8.992</w:t>
            </w:r>
          </w:p>
        </w:tc>
      </w:tr>
      <w:bookmarkEnd w:id="1"/>
    </w:tbl>
    <w:p w:rsidR="00A8099B" w:rsidRDefault="00A8099B" w:rsidP="00A8099B">
      <w:pPr>
        <w:rPr>
          <w:lang w:val="en-US"/>
        </w:rPr>
      </w:pPr>
    </w:p>
    <w:p w:rsidR="00A8099B" w:rsidRDefault="00A8099B" w:rsidP="00A8099B">
      <w:pPr>
        <w:ind w:firstLine="720"/>
        <w:rPr>
          <w:rFonts w:asciiTheme="majorBidi" w:hAnsiTheme="majorBidi" w:cstheme="majorBidi"/>
          <w:bCs/>
        </w:rPr>
      </w:pPr>
      <w:r w:rsidRPr="00FD5136">
        <w:rPr>
          <w:rFonts w:asciiTheme="majorBidi" w:hAnsiTheme="majorBidi" w:cstheme="majorBidi"/>
          <w:bCs/>
        </w:rPr>
        <w:t>Berdasarkan hasil di atas diperoleh hasil nilai R 0.415 dan R2 0.172. artinya ini adalah varian explane atau sumbangan efektif variabel independen terhadap variabel dependen. Varians dari</w:t>
      </w:r>
      <w:r>
        <w:rPr>
          <w:rFonts w:asciiTheme="majorBidi" w:hAnsiTheme="majorBidi" w:cstheme="majorBidi"/>
          <w:bCs/>
        </w:rPr>
        <w:t xml:space="preserve"> </w:t>
      </w:r>
      <w:r w:rsidRPr="00FD5136">
        <w:rPr>
          <w:rFonts w:asciiTheme="majorBidi" w:hAnsiTheme="majorBidi" w:cstheme="majorBidi"/>
          <w:bCs/>
        </w:rPr>
        <w:t>motivasi belajar yang mampu dijelaskan oleh stres akademik dan cognituive load itu sebesar 17,2%.</w:t>
      </w:r>
    </w:p>
    <w:p w:rsidR="00A8099B" w:rsidRDefault="00A8099B" w:rsidP="00A8099B">
      <w:pPr>
        <w:rPr>
          <w:rFonts w:asciiTheme="majorBidi" w:hAnsiTheme="majorBidi" w:cstheme="majorBidi"/>
          <w:bCs/>
        </w:rPr>
      </w:pPr>
    </w:p>
    <w:p w:rsidR="00A8099B" w:rsidRPr="00A8099B" w:rsidRDefault="00A8099B" w:rsidP="00A8099B">
      <w:pPr>
        <w:jc w:val="both"/>
        <w:rPr>
          <w:rFonts w:asciiTheme="majorBidi" w:hAnsiTheme="majorBidi" w:cstheme="majorBidi"/>
          <w:b/>
          <w:lang w:val="en-US"/>
        </w:rPr>
      </w:pPr>
      <w:r w:rsidRPr="00A8099B">
        <w:rPr>
          <w:rFonts w:asciiTheme="majorBidi" w:hAnsiTheme="majorBidi" w:cstheme="majorBidi"/>
          <w:b/>
          <w:lang w:val="en-US"/>
        </w:rPr>
        <w:t>ANOVA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60"/>
        <w:gridCol w:w="1300"/>
        <w:gridCol w:w="1392"/>
        <w:gridCol w:w="992"/>
        <w:gridCol w:w="1701"/>
        <w:gridCol w:w="1134"/>
        <w:gridCol w:w="1134"/>
      </w:tblGrid>
      <w:tr w:rsidR="00A8099B" w:rsidRPr="001F0380" w:rsidTr="003576FB">
        <w:trPr>
          <w:trHeight w:val="680"/>
        </w:trPr>
        <w:tc>
          <w:tcPr>
            <w:tcW w:w="960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  <w:bookmarkStart w:id="2" w:name="_Hlk168626477"/>
            <w:r w:rsidRPr="001F0380"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  <w:t>Model</w:t>
            </w:r>
          </w:p>
        </w:tc>
        <w:tc>
          <w:tcPr>
            <w:tcW w:w="1300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</w:p>
        </w:tc>
        <w:tc>
          <w:tcPr>
            <w:tcW w:w="1392" w:type="dxa"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  <w:t>Sum of Squares</w:t>
            </w:r>
          </w:p>
        </w:tc>
        <w:tc>
          <w:tcPr>
            <w:tcW w:w="992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  <w:t>df</w:t>
            </w:r>
          </w:p>
        </w:tc>
        <w:tc>
          <w:tcPr>
            <w:tcW w:w="1701" w:type="dxa"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  <w:t>Mean Square</w:t>
            </w:r>
          </w:p>
        </w:tc>
        <w:tc>
          <w:tcPr>
            <w:tcW w:w="1134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  <w:t>F</w:t>
            </w:r>
          </w:p>
        </w:tc>
        <w:tc>
          <w:tcPr>
            <w:tcW w:w="1134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  <w:t>P</w:t>
            </w:r>
          </w:p>
        </w:tc>
      </w:tr>
      <w:tr w:rsidR="00A8099B" w:rsidRPr="001F0380" w:rsidTr="003576FB">
        <w:trPr>
          <w:trHeight w:val="290"/>
        </w:trPr>
        <w:tc>
          <w:tcPr>
            <w:tcW w:w="960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Theme="majorBidi" w:hAnsiTheme="majorBidi" w:cstheme="majorBidi"/>
                <w:bCs/>
                <w:color w:val="000000"/>
                <w:vertAlign w:val="subscript"/>
                <w:lang w:eastAsia="en-US"/>
              </w:rPr>
            </w:pPr>
            <w:r w:rsidRPr="001F0380">
              <w:rPr>
                <w:rFonts w:asciiTheme="majorBidi" w:hAnsiTheme="majorBidi" w:cstheme="majorBidi"/>
                <w:bCs/>
                <w:color w:val="000000"/>
                <w:lang w:eastAsia="en-US"/>
              </w:rPr>
              <w:t>H</w:t>
            </w:r>
            <w:r w:rsidRPr="001F0380">
              <w:rPr>
                <w:rFonts w:asciiTheme="majorBidi" w:hAnsiTheme="majorBidi" w:cstheme="majorBidi"/>
                <w:bCs/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1300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Theme="majorBidi" w:hAnsiTheme="majorBidi" w:cstheme="majorBidi"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Cs/>
                <w:color w:val="000000"/>
                <w:lang w:eastAsia="en-US"/>
              </w:rPr>
              <w:t>Regresion</w:t>
            </w:r>
          </w:p>
        </w:tc>
        <w:tc>
          <w:tcPr>
            <w:tcW w:w="1392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Cs/>
                <w:color w:val="000000"/>
                <w:lang w:eastAsia="en-US"/>
              </w:rPr>
              <w:t>3.667.893</w:t>
            </w:r>
          </w:p>
        </w:tc>
        <w:tc>
          <w:tcPr>
            <w:tcW w:w="992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Cs/>
                <w:color w:val="000000"/>
                <w:lang w:eastAsia="en-US"/>
              </w:rPr>
              <w:t>2</w:t>
            </w:r>
          </w:p>
        </w:tc>
        <w:tc>
          <w:tcPr>
            <w:tcW w:w="1701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Cs/>
                <w:color w:val="000000"/>
                <w:lang w:eastAsia="en-US"/>
              </w:rPr>
              <w:t>1.833.947</w:t>
            </w:r>
          </w:p>
        </w:tc>
        <w:tc>
          <w:tcPr>
            <w:tcW w:w="1134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Cs/>
                <w:color w:val="000000"/>
                <w:lang w:eastAsia="en-US"/>
              </w:rPr>
              <w:t>22.684</w:t>
            </w:r>
          </w:p>
        </w:tc>
        <w:tc>
          <w:tcPr>
            <w:tcW w:w="1134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Cs/>
                <w:color w:val="000000"/>
                <w:lang w:eastAsia="en-US"/>
              </w:rPr>
              <w:t>&lt;.001</w:t>
            </w:r>
          </w:p>
        </w:tc>
      </w:tr>
      <w:tr w:rsidR="00A8099B" w:rsidRPr="001F0380" w:rsidTr="003576FB">
        <w:trPr>
          <w:trHeight w:val="290"/>
        </w:trPr>
        <w:tc>
          <w:tcPr>
            <w:tcW w:w="960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Theme="majorBidi" w:hAnsiTheme="majorBidi" w:cstheme="majorBidi"/>
                <w:bCs/>
                <w:color w:val="000000"/>
                <w:lang w:eastAsia="en-US"/>
              </w:rPr>
            </w:pPr>
          </w:p>
        </w:tc>
        <w:tc>
          <w:tcPr>
            <w:tcW w:w="1300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Theme="majorBidi" w:hAnsiTheme="majorBidi" w:cstheme="majorBidi"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Cs/>
                <w:color w:val="000000"/>
                <w:lang w:eastAsia="en-US"/>
              </w:rPr>
              <w:t>Residual</w:t>
            </w:r>
          </w:p>
        </w:tc>
        <w:tc>
          <w:tcPr>
            <w:tcW w:w="1392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Cs/>
                <w:color w:val="000000"/>
                <w:lang w:eastAsia="en-US"/>
              </w:rPr>
              <w:t>17.625.030</w:t>
            </w:r>
          </w:p>
        </w:tc>
        <w:tc>
          <w:tcPr>
            <w:tcW w:w="992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Cs/>
                <w:color w:val="000000"/>
                <w:lang w:eastAsia="en-US"/>
              </w:rPr>
              <w:t>218</w:t>
            </w:r>
          </w:p>
        </w:tc>
        <w:tc>
          <w:tcPr>
            <w:tcW w:w="1701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Cs/>
                <w:color w:val="000000"/>
                <w:lang w:eastAsia="en-US"/>
              </w:rPr>
              <w:t>80.849</w:t>
            </w:r>
          </w:p>
        </w:tc>
        <w:tc>
          <w:tcPr>
            <w:tcW w:w="1134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Cs/>
                <w:color w:val="000000"/>
                <w:lang w:eastAsia="en-US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Cs/>
                <w:color w:val="000000"/>
                <w:lang w:eastAsia="en-US"/>
              </w:rPr>
            </w:pPr>
          </w:p>
        </w:tc>
      </w:tr>
      <w:tr w:rsidR="00A8099B" w:rsidRPr="001F0380" w:rsidTr="003576FB">
        <w:trPr>
          <w:trHeight w:val="480"/>
        </w:trPr>
        <w:tc>
          <w:tcPr>
            <w:tcW w:w="960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Theme="majorBidi" w:hAnsiTheme="majorBidi" w:cstheme="majorBidi"/>
                <w:bCs/>
                <w:color w:val="000000"/>
                <w:lang w:eastAsia="en-US"/>
              </w:rPr>
            </w:pPr>
          </w:p>
        </w:tc>
        <w:tc>
          <w:tcPr>
            <w:tcW w:w="1300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Theme="majorBidi" w:hAnsiTheme="majorBidi" w:cstheme="majorBidi"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Cs/>
                <w:color w:val="000000"/>
                <w:lang w:eastAsia="en-US"/>
              </w:rPr>
              <w:t>Total</w:t>
            </w:r>
          </w:p>
        </w:tc>
        <w:tc>
          <w:tcPr>
            <w:tcW w:w="1392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Cs/>
                <w:color w:val="000000"/>
                <w:lang w:eastAsia="en-US"/>
              </w:rPr>
              <w:t>21.292.923</w:t>
            </w:r>
          </w:p>
        </w:tc>
        <w:tc>
          <w:tcPr>
            <w:tcW w:w="992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Cs/>
                <w:color w:val="000000"/>
                <w:lang w:eastAsia="en-US"/>
              </w:rPr>
              <w:t>220</w:t>
            </w:r>
          </w:p>
        </w:tc>
        <w:tc>
          <w:tcPr>
            <w:tcW w:w="1701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Cs/>
                <w:color w:val="000000"/>
                <w:lang w:eastAsia="en-US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Cs/>
                <w:color w:val="000000"/>
                <w:lang w:eastAsia="en-US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Cs/>
                <w:color w:val="000000"/>
                <w:lang w:eastAsia="en-US"/>
              </w:rPr>
            </w:pPr>
          </w:p>
        </w:tc>
      </w:tr>
      <w:bookmarkEnd w:id="2"/>
    </w:tbl>
    <w:p w:rsidR="00A8099B" w:rsidRPr="00FD5136" w:rsidRDefault="00A8099B" w:rsidP="00A8099B">
      <w:pPr>
        <w:ind w:firstLine="720"/>
        <w:jc w:val="both"/>
        <w:rPr>
          <w:rFonts w:asciiTheme="majorBidi" w:hAnsiTheme="majorBidi" w:cstheme="majorBidi"/>
          <w:bCs/>
        </w:rPr>
      </w:pPr>
    </w:p>
    <w:p w:rsidR="00A8099B" w:rsidRPr="00FD5136" w:rsidRDefault="00A8099B" w:rsidP="00A8099B">
      <w:pPr>
        <w:ind w:firstLine="720"/>
        <w:jc w:val="both"/>
        <w:rPr>
          <w:rFonts w:asciiTheme="majorBidi" w:hAnsiTheme="majorBidi" w:cstheme="majorBidi"/>
          <w:bCs/>
          <w:lang w:val="en-US"/>
        </w:rPr>
      </w:pPr>
      <w:r w:rsidRPr="00FD5136">
        <w:rPr>
          <w:rFonts w:asciiTheme="majorBidi" w:hAnsiTheme="majorBidi" w:cstheme="majorBidi"/>
          <w:bCs/>
        </w:rPr>
        <w:t>Uji hipotesa menunjukkan bahwa nilai F 22.684 kemudia nilai p dibawah 0.001, artinya ini sangat signifikan. Maka Stress Akdemik dan Cognitive Load bersama-sama mampu memprediksi Motivasi Belajar</w:t>
      </w:r>
      <w:r w:rsidRPr="00FD5136">
        <w:rPr>
          <w:rFonts w:asciiTheme="majorBidi" w:hAnsiTheme="majorBidi" w:cstheme="majorBidi"/>
          <w:bCs/>
          <w:lang w:val="en-US"/>
        </w:rPr>
        <w:t>.</w:t>
      </w:r>
    </w:p>
    <w:p w:rsidR="00A8099B" w:rsidRDefault="00A8099B" w:rsidP="00A8099B">
      <w:pPr>
        <w:jc w:val="both"/>
        <w:rPr>
          <w:rFonts w:asciiTheme="majorBidi" w:hAnsiTheme="majorBidi" w:cstheme="majorBidi"/>
          <w:bCs/>
          <w:lang w:val="en-US"/>
        </w:rPr>
      </w:pPr>
    </w:p>
    <w:p w:rsidR="00A8099B" w:rsidRPr="00A8099B" w:rsidRDefault="00A8099B" w:rsidP="00A8099B">
      <w:pPr>
        <w:jc w:val="both"/>
        <w:rPr>
          <w:rFonts w:asciiTheme="majorBidi" w:hAnsiTheme="majorBidi" w:cstheme="majorBidi"/>
          <w:b/>
          <w:lang w:val="en-US"/>
        </w:rPr>
      </w:pPr>
      <w:r w:rsidRPr="00A8099B">
        <w:rPr>
          <w:rFonts w:asciiTheme="majorBidi" w:hAnsiTheme="majorBidi" w:cstheme="majorBidi"/>
          <w:b/>
          <w:lang w:val="en-US"/>
        </w:rPr>
        <w:t>Coefisiensi</w:t>
      </w: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758"/>
        <w:gridCol w:w="1175"/>
        <w:gridCol w:w="1578"/>
        <w:gridCol w:w="1013"/>
        <w:gridCol w:w="1223"/>
        <w:gridCol w:w="862"/>
        <w:gridCol w:w="677"/>
        <w:gridCol w:w="1067"/>
        <w:gridCol w:w="663"/>
      </w:tblGrid>
      <w:tr w:rsidR="00A8099B" w:rsidRPr="001F0380" w:rsidTr="003576FB">
        <w:trPr>
          <w:trHeight w:val="290"/>
        </w:trPr>
        <w:tc>
          <w:tcPr>
            <w:tcW w:w="2081" w:type="dxa"/>
            <w:gridSpan w:val="2"/>
            <w:noWrap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  <w:t>Coefficiensi</w:t>
            </w:r>
          </w:p>
        </w:tc>
        <w:tc>
          <w:tcPr>
            <w:tcW w:w="1661" w:type="dxa"/>
            <w:noWrap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  <w:t> </w:t>
            </w:r>
          </w:p>
        </w:tc>
        <w:tc>
          <w:tcPr>
            <w:tcW w:w="1079" w:type="dxa"/>
            <w:noWrap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  <w:t> </w:t>
            </w:r>
          </w:p>
        </w:tc>
        <w:tc>
          <w:tcPr>
            <w:tcW w:w="1256" w:type="dxa"/>
            <w:noWrap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  <w:t> </w:t>
            </w:r>
          </w:p>
        </w:tc>
        <w:tc>
          <w:tcPr>
            <w:tcW w:w="855" w:type="dxa"/>
            <w:noWrap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  <w:t> </w:t>
            </w:r>
          </w:p>
        </w:tc>
        <w:tc>
          <w:tcPr>
            <w:tcW w:w="2418" w:type="dxa"/>
            <w:gridSpan w:val="3"/>
            <w:noWrap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  <w:t>Collinearity Statistics</w:t>
            </w:r>
          </w:p>
        </w:tc>
      </w:tr>
      <w:tr w:rsidR="00A8099B" w:rsidRPr="001F0380" w:rsidTr="003576FB">
        <w:trPr>
          <w:trHeight w:val="290"/>
        </w:trPr>
        <w:tc>
          <w:tcPr>
            <w:tcW w:w="807" w:type="dxa"/>
            <w:vMerge w:val="restart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  <w:t>Model</w:t>
            </w:r>
          </w:p>
        </w:tc>
        <w:tc>
          <w:tcPr>
            <w:tcW w:w="1274" w:type="dxa"/>
            <w:vMerge w:val="restart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</w:p>
        </w:tc>
        <w:tc>
          <w:tcPr>
            <w:tcW w:w="1661" w:type="dxa"/>
            <w:vMerge w:val="restart"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  <w:t>Unstandardized</w:t>
            </w:r>
          </w:p>
        </w:tc>
        <w:tc>
          <w:tcPr>
            <w:tcW w:w="1079" w:type="dxa"/>
            <w:vMerge w:val="restart"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  <w:t>Standard Error</w:t>
            </w:r>
          </w:p>
        </w:tc>
        <w:tc>
          <w:tcPr>
            <w:tcW w:w="1256" w:type="dxa"/>
            <w:vMerge w:val="restart"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  <w:t>Standarizer</w:t>
            </w:r>
          </w:p>
        </w:tc>
        <w:tc>
          <w:tcPr>
            <w:tcW w:w="855" w:type="dxa"/>
            <w:vMerge w:val="restart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  <w:t>t</w:t>
            </w:r>
          </w:p>
        </w:tc>
        <w:tc>
          <w:tcPr>
            <w:tcW w:w="658" w:type="dxa"/>
            <w:vMerge w:val="restart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  <w:t>p</w:t>
            </w:r>
          </w:p>
        </w:tc>
        <w:tc>
          <w:tcPr>
            <w:tcW w:w="1102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</w:p>
        </w:tc>
        <w:tc>
          <w:tcPr>
            <w:tcW w:w="658" w:type="dxa"/>
            <w:vMerge w:val="restart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  <w:t>VIF</w:t>
            </w:r>
          </w:p>
        </w:tc>
      </w:tr>
      <w:tr w:rsidR="00A8099B" w:rsidRPr="001F0380" w:rsidTr="003576FB">
        <w:trPr>
          <w:trHeight w:val="290"/>
        </w:trPr>
        <w:tc>
          <w:tcPr>
            <w:tcW w:w="807" w:type="dxa"/>
            <w:vMerge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</w:p>
        </w:tc>
        <w:tc>
          <w:tcPr>
            <w:tcW w:w="1274" w:type="dxa"/>
            <w:vMerge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</w:p>
        </w:tc>
        <w:tc>
          <w:tcPr>
            <w:tcW w:w="1661" w:type="dxa"/>
            <w:vMerge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</w:p>
        </w:tc>
        <w:tc>
          <w:tcPr>
            <w:tcW w:w="1079" w:type="dxa"/>
            <w:vMerge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</w:p>
        </w:tc>
        <w:tc>
          <w:tcPr>
            <w:tcW w:w="1256" w:type="dxa"/>
            <w:vMerge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</w:p>
        </w:tc>
        <w:tc>
          <w:tcPr>
            <w:tcW w:w="855" w:type="dxa"/>
            <w:vMerge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</w:p>
        </w:tc>
        <w:tc>
          <w:tcPr>
            <w:tcW w:w="658" w:type="dxa"/>
            <w:vMerge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</w:p>
        </w:tc>
        <w:tc>
          <w:tcPr>
            <w:tcW w:w="1102" w:type="dxa"/>
            <w:noWrap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  <w:t>Tolerance</w:t>
            </w:r>
          </w:p>
        </w:tc>
        <w:tc>
          <w:tcPr>
            <w:tcW w:w="658" w:type="dxa"/>
            <w:vMerge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</w:p>
        </w:tc>
      </w:tr>
      <w:tr w:rsidR="00A8099B" w:rsidRPr="001F0380" w:rsidTr="003576FB">
        <w:trPr>
          <w:trHeight w:val="480"/>
        </w:trPr>
        <w:tc>
          <w:tcPr>
            <w:tcW w:w="807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vertAlign w:val="subscript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H</w:t>
            </w:r>
            <w:r w:rsidRPr="001F0380">
              <w:rPr>
                <w:rFonts w:asciiTheme="majorBidi" w:hAnsiTheme="majorBidi" w:cstheme="majorBidi"/>
                <w:color w:val="000000"/>
                <w:vertAlign w:val="subscript"/>
                <w:lang w:eastAsia="en-US"/>
              </w:rPr>
              <w:t>0</w:t>
            </w:r>
          </w:p>
        </w:tc>
        <w:tc>
          <w:tcPr>
            <w:tcW w:w="1274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(Intercept)</w:t>
            </w:r>
          </w:p>
        </w:tc>
        <w:tc>
          <w:tcPr>
            <w:tcW w:w="1661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97.538</w:t>
            </w:r>
          </w:p>
        </w:tc>
        <w:tc>
          <w:tcPr>
            <w:tcW w:w="1079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0.662</w:t>
            </w:r>
          </w:p>
        </w:tc>
        <w:tc>
          <w:tcPr>
            <w:tcW w:w="1256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</w:p>
        </w:tc>
        <w:tc>
          <w:tcPr>
            <w:tcW w:w="855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143.389</w:t>
            </w:r>
          </w:p>
        </w:tc>
        <w:tc>
          <w:tcPr>
            <w:tcW w:w="658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&lt;.001</w:t>
            </w:r>
          </w:p>
        </w:tc>
        <w:tc>
          <w:tcPr>
            <w:tcW w:w="1102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</w:p>
        </w:tc>
        <w:tc>
          <w:tcPr>
            <w:tcW w:w="658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</w:p>
        </w:tc>
      </w:tr>
      <w:tr w:rsidR="00A8099B" w:rsidRPr="001F0380" w:rsidTr="003576FB">
        <w:trPr>
          <w:trHeight w:val="420"/>
        </w:trPr>
        <w:tc>
          <w:tcPr>
            <w:tcW w:w="807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vertAlign w:val="subscript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H</w:t>
            </w:r>
            <w:r w:rsidRPr="001F0380">
              <w:rPr>
                <w:rFonts w:asciiTheme="majorBidi" w:hAnsiTheme="majorBidi" w:cstheme="majorBidi"/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1274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(Intercept)</w:t>
            </w:r>
          </w:p>
        </w:tc>
        <w:tc>
          <w:tcPr>
            <w:tcW w:w="1661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132.292</w:t>
            </w:r>
          </w:p>
        </w:tc>
        <w:tc>
          <w:tcPr>
            <w:tcW w:w="1079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6.056</w:t>
            </w:r>
          </w:p>
        </w:tc>
        <w:tc>
          <w:tcPr>
            <w:tcW w:w="1256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</w:p>
        </w:tc>
        <w:tc>
          <w:tcPr>
            <w:tcW w:w="855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21.847</w:t>
            </w:r>
          </w:p>
        </w:tc>
        <w:tc>
          <w:tcPr>
            <w:tcW w:w="658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&lt;.001</w:t>
            </w:r>
          </w:p>
        </w:tc>
        <w:tc>
          <w:tcPr>
            <w:tcW w:w="1102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</w:p>
        </w:tc>
        <w:tc>
          <w:tcPr>
            <w:tcW w:w="658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</w:p>
        </w:tc>
      </w:tr>
      <w:tr w:rsidR="00A8099B" w:rsidRPr="001F0380" w:rsidTr="003576FB">
        <w:trPr>
          <w:trHeight w:val="410"/>
        </w:trPr>
        <w:tc>
          <w:tcPr>
            <w:tcW w:w="807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</w:p>
        </w:tc>
        <w:tc>
          <w:tcPr>
            <w:tcW w:w="1274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Stes Akademik</w:t>
            </w:r>
          </w:p>
        </w:tc>
        <w:tc>
          <w:tcPr>
            <w:tcW w:w="1661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0.049</w:t>
            </w:r>
          </w:p>
        </w:tc>
        <w:tc>
          <w:tcPr>
            <w:tcW w:w="1079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0.066</w:t>
            </w:r>
          </w:p>
        </w:tc>
        <w:tc>
          <w:tcPr>
            <w:tcW w:w="1256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0.049</w:t>
            </w:r>
          </w:p>
        </w:tc>
        <w:tc>
          <w:tcPr>
            <w:tcW w:w="855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-738</w:t>
            </w:r>
          </w:p>
        </w:tc>
        <w:tc>
          <w:tcPr>
            <w:tcW w:w="658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0.461</w:t>
            </w:r>
          </w:p>
        </w:tc>
        <w:tc>
          <w:tcPr>
            <w:tcW w:w="1102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0.870</w:t>
            </w:r>
          </w:p>
        </w:tc>
        <w:tc>
          <w:tcPr>
            <w:tcW w:w="658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1.149</w:t>
            </w:r>
          </w:p>
        </w:tc>
      </w:tr>
      <w:tr w:rsidR="00A8099B" w:rsidRPr="001F0380" w:rsidTr="003576FB">
        <w:trPr>
          <w:trHeight w:val="420"/>
        </w:trPr>
        <w:tc>
          <w:tcPr>
            <w:tcW w:w="807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</w:p>
        </w:tc>
        <w:tc>
          <w:tcPr>
            <w:tcW w:w="1274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Cognitive Load</w:t>
            </w:r>
          </w:p>
        </w:tc>
        <w:tc>
          <w:tcPr>
            <w:tcW w:w="1661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-1.134</w:t>
            </w:r>
          </w:p>
        </w:tc>
        <w:tc>
          <w:tcPr>
            <w:tcW w:w="1079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0.190</w:t>
            </w:r>
          </w:p>
        </w:tc>
        <w:tc>
          <w:tcPr>
            <w:tcW w:w="1256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0.395</w:t>
            </w:r>
          </w:p>
        </w:tc>
        <w:tc>
          <w:tcPr>
            <w:tcW w:w="855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-5.979</w:t>
            </w:r>
          </w:p>
        </w:tc>
        <w:tc>
          <w:tcPr>
            <w:tcW w:w="658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&lt;.001</w:t>
            </w:r>
          </w:p>
        </w:tc>
        <w:tc>
          <w:tcPr>
            <w:tcW w:w="1102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0.870</w:t>
            </w:r>
          </w:p>
        </w:tc>
        <w:tc>
          <w:tcPr>
            <w:tcW w:w="658" w:type="dxa"/>
            <w:noWrap/>
            <w:vAlign w:val="center"/>
            <w:hideMark/>
          </w:tcPr>
          <w:p w:rsidR="00A8099B" w:rsidRPr="001F0380" w:rsidRDefault="00A8099B" w:rsidP="0035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1F0380">
              <w:rPr>
                <w:rFonts w:asciiTheme="majorBidi" w:hAnsiTheme="majorBidi" w:cstheme="majorBidi"/>
                <w:color w:val="000000"/>
                <w:lang w:eastAsia="en-US"/>
              </w:rPr>
              <w:t>1.149</w:t>
            </w:r>
          </w:p>
        </w:tc>
      </w:tr>
    </w:tbl>
    <w:p w:rsidR="00A8099B" w:rsidRPr="00FD5136" w:rsidRDefault="00A8099B" w:rsidP="00A8099B">
      <w:pPr>
        <w:ind w:firstLine="720"/>
        <w:jc w:val="both"/>
        <w:rPr>
          <w:rFonts w:asciiTheme="majorBidi" w:hAnsiTheme="majorBidi" w:cstheme="majorBidi"/>
          <w:bCs/>
        </w:rPr>
      </w:pPr>
    </w:p>
    <w:p w:rsidR="00A8099B" w:rsidRPr="00FD5136" w:rsidRDefault="00A8099B" w:rsidP="00A8099B">
      <w:pPr>
        <w:ind w:firstLine="720"/>
        <w:jc w:val="both"/>
        <w:rPr>
          <w:rFonts w:asciiTheme="majorBidi" w:hAnsiTheme="majorBidi" w:cstheme="majorBidi"/>
          <w:bCs/>
        </w:rPr>
      </w:pPr>
      <w:r w:rsidRPr="00FD5136">
        <w:rPr>
          <w:rFonts w:asciiTheme="majorBidi" w:hAnsiTheme="majorBidi" w:cstheme="majorBidi"/>
          <w:bCs/>
        </w:rPr>
        <w:t>Ditinjau dari masing-masing variabel menunjukkan bahwa Stress Akademik memiliki peranan yang signifikan terhadap Motivasi Belajar, karena nilai p 0.461 &lt; 10. Sedangkan Cognitive Load memiliki juga peranan yang signifikan terhadap Motivasi Belajar, karena nilai p 0.001 &lt; 10.</w:t>
      </w:r>
    </w:p>
    <w:p w:rsidR="00A8099B" w:rsidRPr="00A8099B" w:rsidRDefault="00A8099B" w:rsidP="00A8099B"/>
    <w:sectPr w:rsidR="00A8099B" w:rsidRPr="00A809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99B"/>
    <w:rsid w:val="001C5716"/>
    <w:rsid w:val="00A8099B"/>
    <w:rsid w:val="00C22FFB"/>
    <w:rsid w:val="00E2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D9700"/>
  <w15:chartTrackingRefBased/>
  <w15:docId w15:val="{9456BE7B-5D20-4C41-B5C8-66E9549B4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A8099B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kern w:val="0"/>
      <w:position w:val="-1"/>
      <w:lang w:val="en-US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80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A8099B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kern w:val="0"/>
      <w:position w:val="-1"/>
      <w:lang w:val="en-US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A8099B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kern w:val="0"/>
      <w:position w:val="-1"/>
      <w:lang w:val="en-US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 Ika Puspitasari Puspitasari</dc:creator>
  <cp:keywords/>
  <dc:description/>
  <cp:lastModifiedBy>Elya Ika Puspitasari Puspitasari</cp:lastModifiedBy>
  <cp:revision>1</cp:revision>
  <dcterms:created xsi:type="dcterms:W3CDTF">2024-06-17T09:40:00Z</dcterms:created>
  <dcterms:modified xsi:type="dcterms:W3CDTF">2024-06-17T09:47:00Z</dcterms:modified>
</cp:coreProperties>
</file>